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4B46" w14:textId="2DB76E4C" w:rsidR="00E73CE5" w:rsidRPr="003A30B9" w:rsidRDefault="00E73CE5" w:rsidP="00E73CE5">
      <w:pPr>
        <w:pStyle w:val="Title"/>
        <w:rPr>
          <w:sz w:val="40"/>
          <w:szCs w:val="40"/>
        </w:rPr>
      </w:pPr>
      <w:r w:rsidRPr="004A702C">
        <w:rPr>
          <w:sz w:val="48"/>
          <w:szCs w:val="48"/>
        </w:rPr>
        <w:t xml:space="preserve">Editorial </w:t>
      </w:r>
      <w:r w:rsidR="003A30B9" w:rsidRPr="004A702C">
        <w:rPr>
          <w:sz w:val="48"/>
          <w:szCs w:val="48"/>
        </w:rPr>
        <w:t>style sheet –</w:t>
      </w:r>
      <w:r w:rsidR="004A702C" w:rsidRPr="004A702C">
        <w:rPr>
          <w:sz w:val="48"/>
          <w:szCs w:val="48"/>
        </w:rPr>
        <w:t xml:space="preserve"> financial book</w:t>
      </w:r>
      <w:r w:rsidR="003A30B9" w:rsidRPr="003A30B9">
        <w:rPr>
          <w:sz w:val="40"/>
          <w:szCs w:val="40"/>
        </w:rPr>
        <w:t xml:space="preserve"> </w:t>
      </w:r>
    </w:p>
    <w:p w14:paraId="625BFBFB" w14:textId="77777777" w:rsidR="001D4087" w:rsidRDefault="001D4087" w:rsidP="00ED5217">
      <w:pPr>
        <w:pStyle w:val="Heading1"/>
      </w:pPr>
      <w:r>
        <w:t>References</w:t>
      </w:r>
    </w:p>
    <w:p w14:paraId="62128029" w14:textId="01FD3D29" w:rsidR="001D4087" w:rsidRDefault="001D4087" w:rsidP="00B73869">
      <w:pPr>
        <w:pStyle w:val="ListParagraph"/>
        <w:numPr>
          <w:ilvl w:val="0"/>
          <w:numId w:val="8"/>
        </w:numPr>
      </w:pPr>
      <w:r>
        <w:t xml:space="preserve">Chicago Manual of Style </w:t>
      </w:r>
      <w:r w:rsidR="00770608">
        <w:t>(CMOS)</w:t>
      </w:r>
    </w:p>
    <w:p w14:paraId="360038F4" w14:textId="2BEEE685" w:rsidR="001D4087" w:rsidRDefault="001D4087" w:rsidP="00B73869">
      <w:pPr>
        <w:pStyle w:val="ListParagraph"/>
        <w:numPr>
          <w:ilvl w:val="0"/>
          <w:numId w:val="8"/>
        </w:numPr>
      </w:pPr>
      <w:r>
        <w:t>Merriam-Webster</w:t>
      </w:r>
      <w:r w:rsidR="00770608">
        <w:t xml:space="preserve"> (M-W)</w:t>
      </w:r>
    </w:p>
    <w:p w14:paraId="0024A64C" w14:textId="3B53348D" w:rsidR="001D4087" w:rsidRPr="001D4087" w:rsidRDefault="001D4087" w:rsidP="00B73869">
      <w:pPr>
        <w:pStyle w:val="ListParagraph"/>
        <w:numPr>
          <w:ilvl w:val="0"/>
          <w:numId w:val="8"/>
        </w:numPr>
      </w:pPr>
      <w:r>
        <w:t xml:space="preserve">Investopedia for a lot of the bookkeeping and financial terms </w:t>
      </w:r>
    </w:p>
    <w:p w14:paraId="0AF22A81" w14:textId="7A95DD69" w:rsidR="00ED5217" w:rsidRDefault="00ED5217" w:rsidP="00ED5217">
      <w:pPr>
        <w:pStyle w:val="Heading1"/>
      </w:pPr>
      <w:r>
        <w:t>Miscellaneous</w:t>
      </w:r>
      <w:r w:rsidR="00B07AE8">
        <w:t xml:space="preserve"> </w:t>
      </w:r>
    </w:p>
    <w:p w14:paraId="467E01CC" w14:textId="6B17CBCB" w:rsidR="00ED5217" w:rsidRDefault="00ED5217" w:rsidP="009058D2">
      <w:pPr>
        <w:pStyle w:val="ListParagraph"/>
        <w:numPr>
          <w:ilvl w:val="0"/>
          <w:numId w:val="4"/>
        </w:numPr>
      </w:pPr>
      <w:r>
        <w:t xml:space="preserve">Oxford comma – yes </w:t>
      </w:r>
    </w:p>
    <w:p w14:paraId="5D1CFA48" w14:textId="0D764B43" w:rsidR="00916C8A" w:rsidRDefault="00916C8A" w:rsidP="009058D2">
      <w:pPr>
        <w:pStyle w:val="ListParagraph"/>
        <w:numPr>
          <w:ilvl w:val="0"/>
          <w:numId w:val="4"/>
        </w:numPr>
      </w:pPr>
      <w:r>
        <w:t xml:space="preserve">Watch </w:t>
      </w:r>
      <w:r w:rsidR="00380714">
        <w:t>out for use of</w:t>
      </w:r>
      <w:r>
        <w:t xml:space="preserve"> “will”</w:t>
      </w:r>
      <w:r w:rsidR="00380714">
        <w:t xml:space="preserve"> as in future tense</w:t>
      </w:r>
      <w:r>
        <w:t xml:space="preserve">—where </w:t>
      </w:r>
      <w:proofErr w:type="gramStart"/>
      <w:r>
        <w:t>appropriate</w:t>
      </w:r>
      <w:proofErr w:type="gramEnd"/>
      <w:r>
        <w:t>, mo</w:t>
      </w:r>
      <w:r w:rsidR="009058D2">
        <w:t>v</w:t>
      </w:r>
      <w:r>
        <w:t>e from future tense into present tense</w:t>
      </w:r>
    </w:p>
    <w:p w14:paraId="6A9D25C8" w14:textId="0FD96A2E" w:rsidR="00916C8A" w:rsidRDefault="00916C8A" w:rsidP="009058D2">
      <w:pPr>
        <w:pStyle w:val="ListParagraph"/>
        <w:numPr>
          <w:ilvl w:val="0"/>
          <w:numId w:val="4"/>
        </w:numPr>
      </w:pPr>
      <w:r>
        <w:t xml:space="preserve">Numbers – </w:t>
      </w:r>
      <w:r w:rsidR="009058D2">
        <w:t xml:space="preserve">I used numerals for </w:t>
      </w:r>
      <w:r>
        <w:t>things like 30 days to pay and 15 days to pay</w:t>
      </w:r>
      <w:r w:rsidR="00380714">
        <w:t xml:space="preserve"> (rather than thirty days to pay) – more aligned to what an invoice would show</w:t>
      </w:r>
      <w:r w:rsidR="00047DE4">
        <w:t xml:space="preserve">. </w:t>
      </w:r>
    </w:p>
    <w:p w14:paraId="40C987C8" w14:textId="1D9D21DB" w:rsidR="00916C8A" w:rsidRDefault="00916C8A" w:rsidP="00916C8A">
      <w:pPr>
        <w:pStyle w:val="Heading1"/>
      </w:pPr>
      <w:r>
        <w:t>Formatting</w:t>
      </w:r>
      <w:r w:rsidR="009058D2">
        <w:t xml:space="preserve"> </w:t>
      </w:r>
    </w:p>
    <w:p w14:paraId="6799D495" w14:textId="3AD36FFF" w:rsidR="00AC4FD9" w:rsidRDefault="003A30B9" w:rsidP="009058D2">
      <w:pPr>
        <w:pStyle w:val="ListParagraph"/>
        <w:numPr>
          <w:ilvl w:val="0"/>
          <w:numId w:val="5"/>
        </w:numPr>
      </w:pPr>
      <w:r>
        <w:t xml:space="preserve">Verify </w:t>
      </w:r>
      <w:r w:rsidR="00AC4FD9">
        <w:t xml:space="preserve">all figures </w:t>
      </w:r>
      <w:proofErr w:type="gramStart"/>
      <w:r>
        <w:t>are labeled</w:t>
      </w:r>
      <w:proofErr w:type="gramEnd"/>
      <w:r w:rsidR="009058D2">
        <w:t xml:space="preserve"> </w:t>
      </w:r>
    </w:p>
    <w:p w14:paraId="35F5693F" w14:textId="580A4067" w:rsidR="00ED5217" w:rsidRDefault="003A30B9" w:rsidP="009058D2">
      <w:pPr>
        <w:pStyle w:val="ListParagraph"/>
        <w:numPr>
          <w:ilvl w:val="0"/>
          <w:numId w:val="5"/>
        </w:numPr>
      </w:pPr>
      <w:r>
        <w:t>Verify</w:t>
      </w:r>
      <w:r w:rsidR="00916C8A">
        <w:t xml:space="preserve"> diagrams are consistent, e.g., ratio formulas displayed the same way</w:t>
      </w:r>
    </w:p>
    <w:p w14:paraId="5DBDFF2D" w14:textId="22BA517F" w:rsidR="009058D2" w:rsidRDefault="003A30B9" w:rsidP="009058D2">
      <w:pPr>
        <w:pStyle w:val="ListParagraph"/>
        <w:numPr>
          <w:ilvl w:val="0"/>
          <w:numId w:val="5"/>
        </w:numPr>
      </w:pPr>
      <w:r>
        <w:t xml:space="preserve">Verify </w:t>
      </w:r>
      <w:r w:rsidR="009058D2">
        <w:t xml:space="preserve">formatting </w:t>
      </w:r>
      <w:r>
        <w:t xml:space="preserve">is consistent </w:t>
      </w:r>
      <w:r w:rsidR="009058D2">
        <w:t xml:space="preserve">for “PRO TIP” </w:t>
      </w:r>
      <w:r>
        <w:t xml:space="preserve">and </w:t>
      </w:r>
      <w:r w:rsidR="009058D2">
        <w:t xml:space="preserve">“SPECIAL NOTE” </w:t>
      </w:r>
    </w:p>
    <w:p w14:paraId="6E2E16A4" w14:textId="7E047D40" w:rsidR="00ED5217" w:rsidRDefault="00ED5217" w:rsidP="00ED5217">
      <w:pPr>
        <w:pStyle w:val="Heading1"/>
      </w:pPr>
      <w:r>
        <w:t xml:space="preserve">Names </w:t>
      </w:r>
    </w:p>
    <w:p w14:paraId="041B453E" w14:textId="1AE61B28" w:rsidR="00ED5217" w:rsidRDefault="00ED5217" w:rsidP="009058D2">
      <w:pPr>
        <w:pStyle w:val="ListParagraph"/>
        <w:numPr>
          <w:ilvl w:val="0"/>
          <w:numId w:val="6"/>
        </w:numPr>
      </w:pPr>
      <w:r w:rsidRPr="003F3C5A">
        <w:t>U.S. Securities and Exchange Commission (SEC)</w:t>
      </w:r>
    </w:p>
    <w:p w14:paraId="09C81F51" w14:textId="12FCA21C" w:rsidR="00ED5217" w:rsidRDefault="00ED5217" w:rsidP="009058D2">
      <w:pPr>
        <w:pStyle w:val="ListParagraph"/>
        <w:numPr>
          <w:ilvl w:val="0"/>
          <w:numId w:val="6"/>
        </w:numPr>
      </w:pPr>
      <w:r w:rsidRPr="003F3C5A">
        <w:t>American Institute of Certified Public Accountants (AICPA)</w:t>
      </w:r>
    </w:p>
    <w:p w14:paraId="31A8FCD5" w14:textId="7846D6D2" w:rsidR="00ED5217" w:rsidRDefault="00ED5217" w:rsidP="009058D2">
      <w:pPr>
        <w:pStyle w:val="ListParagraph"/>
        <w:numPr>
          <w:ilvl w:val="0"/>
          <w:numId w:val="6"/>
        </w:numPr>
      </w:pPr>
      <w:r w:rsidRPr="003F3C5A">
        <w:t>Financial Accounting Standards Board (FASB)</w:t>
      </w:r>
    </w:p>
    <w:p w14:paraId="68ED3689" w14:textId="579D3CC6" w:rsidR="00ED5217" w:rsidRDefault="00ED5217" w:rsidP="009058D2">
      <w:pPr>
        <w:pStyle w:val="ListParagraph"/>
        <w:numPr>
          <w:ilvl w:val="0"/>
          <w:numId w:val="6"/>
        </w:numPr>
      </w:pPr>
      <w:r w:rsidRPr="003F3C5A">
        <w:t>Governmental Accounting Standards Board (GASB)</w:t>
      </w:r>
      <w:r>
        <w:t xml:space="preserve"> </w:t>
      </w:r>
    </w:p>
    <w:p w14:paraId="336CE272" w14:textId="593D0D9D" w:rsidR="00AC4FD9" w:rsidRDefault="00AC4FD9" w:rsidP="009058D2">
      <w:pPr>
        <w:pStyle w:val="ListParagraph"/>
        <w:numPr>
          <w:ilvl w:val="0"/>
          <w:numId w:val="6"/>
        </w:numPr>
      </w:pPr>
      <w:r>
        <w:t>QuickBooks Desktop; QuickBooks Online</w:t>
      </w:r>
    </w:p>
    <w:p w14:paraId="7CF10C3F" w14:textId="76749A9F" w:rsidR="00ED5217" w:rsidRDefault="002E2D20" w:rsidP="00ED5217">
      <w:pPr>
        <w:pStyle w:val="Heading1"/>
      </w:pPr>
      <w:r>
        <w:t xml:space="preserve">Accounting </w:t>
      </w:r>
      <w:r w:rsidR="00ED5217">
        <w:t>Terminology</w:t>
      </w:r>
    </w:p>
    <w:p w14:paraId="52F4A506" w14:textId="73AB8E82" w:rsidR="002A7299" w:rsidRDefault="002A7299" w:rsidP="002A7299">
      <w:r>
        <w:t>Capitalization – I am capitalizing many accounting terms even though not entirely to CMOS style, because I think it helps for understanding</w:t>
      </w:r>
      <w:r w:rsidR="007C4862">
        <w:t xml:space="preserve"> in this book</w:t>
      </w:r>
      <w:r w:rsidR="003A30B9">
        <w:t>.</w:t>
      </w:r>
      <w:r w:rsidR="007C4862">
        <w:t xml:space="preserve"> </w:t>
      </w:r>
    </w:p>
    <w:p w14:paraId="333A3A37" w14:textId="3CBA5250" w:rsidR="002A7299" w:rsidRDefault="002A7299" w:rsidP="007C4862">
      <w:pPr>
        <w:pStyle w:val="ListParagraph"/>
        <w:numPr>
          <w:ilvl w:val="0"/>
          <w:numId w:val="7"/>
        </w:numPr>
      </w:pPr>
      <w:r>
        <w:t>Balance Sheet – always capitalize</w:t>
      </w:r>
    </w:p>
    <w:p w14:paraId="5BD81F54" w14:textId="65033D6D" w:rsidR="002A7299" w:rsidRDefault="002A7299" w:rsidP="007C4862">
      <w:pPr>
        <w:pStyle w:val="ListParagraph"/>
        <w:numPr>
          <w:ilvl w:val="0"/>
          <w:numId w:val="7"/>
        </w:numPr>
      </w:pPr>
      <w:r>
        <w:t xml:space="preserve">Profit &amp; Loss statement, Profit &amp; Loss, or P&amp;L or P&amp;L statement – always use an ampersand </w:t>
      </w:r>
    </w:p>
    <w:p w14:paraId="0D36C112" w14:textId="13A6806E" w:rsidR="002A7299" w:rsidRDefault="002A7299" w:rsidP="007C4862">
      <w:pPr>
        <w:pStyle w:val="ListParagraph"/>
        <w:numPr>
          <w:ilvl w:val="0"/>
          <w:numId w:val="7"/>
        </w:numPr>
      </w:pPr>
      <w:r>
        <w:lastRenderedPageBreak/>
        <w:t>Statement of Cash Flows – “flows” is plural (but in Cash Flow Statement it is singular) – always capped</w:t>
      </w:r>
    </w:p>
    <w:p w14:paraId="7599B581" w14:textId="48587369" w:rsidR="00E5189E" w:rsidRDefault="00E5189E" w:rsidP="007C4862">
      <w:pPr>
        <w:pStyle w:val="ListParagraph"/>
        <w:numPr>
          <w:ilvl w:val="0"/>
          <w:numId w:val="7"/>
        </w:numPr>
      </w:pPr>
      <w:r>
        <w:t xml:space="preserve">Chart of Accounts </w:t>
      </w:r>
    </w:p>
    <w:p w14:paraId="26E28233" w14:textId="3AA9E8CA" w:rsidR="00E5189E" w:rsidRDefault="00E5189E" w:rsidP="007C4862">
      <w:pPr>
        <w:pStyle w:val="ListParagraph"/>
        <w:numPr>
          <w:ilvl w:val="0"/>
          <w:numId w:val="7"/>
        </w:numPr>
      </w:pPr>
      <w:r>
        <w:t xml:space="preserve">Account names are capitalized, e.g., Training &amp; Education, Rent Expense </w:t>
      </w:r>
    </w:p>
    <w:p w14:paraId="014C39B8" w14:textId="77FCE2AA" w:rsidR="001D4087" w:rsidRDefault="0050791F" w:rsidP="001D4087">
      <w:r>
        <w:t>Treatment of t</w:t>
      </w:r>
      <w:r w:rsidR="001D4087">
        <w:t>erminology</w:t>
      </w:r>
    </w:p>
    <w:p w14:paraId="644F050F" w14:textId="77777777" w:rsidR="001D4087" w:rsidRDefault="001D4087" w:rsidP="001D4087">
      <w:pPr>
        <w:pStyle w:val="ListParagraph"/>
        <w:numPr>
          <w:ilvl w:val="0"/>
          <w:numId w:val="3"/>
        </w:numPr>
      </w:pPr>
      <w:r>
        <w:t>When new terms a</w:t>
      </w:r>
      <w:r>
        <w:t xml:space="preserve">re capitalized, do not use quotes. </w:t>
      </w:r>
    </w:p>
    <w:p w14:paraId="4681F9A6" w14:textId="77777777" w:rsidR="001D4087" w:rsidRDefault="001D4087" w:rsidP="001D4087">
      <w:pPr>
        <w:pStyle w:val="ListParagraph"/>
        <w:numPr>
          <w:ilvl w:val="0"/>
          <w:numId w:val="3"/>
        </w:numPr>
      </w:pPr>
      <w:r>
        <w:t xml:space="preserve">If new terms are not capped, used quotes on first definition. For example: </w:t>
      </w:r>
      <w:r w:rsidRPr="003F3C5A">
        <w:t>That’s called “pass-through” taxation.</w:t>
      </w:r>
      <w:r>
        <w:t xml:space="preserve"> </w:t>
      </w:r>
    </w:p>
    <w:p w14:paraId="40FD97E3" w14:textId="34916240" w:rsidR="00DD1698" w:rsidRDefault="00DD1698" w:rsidP="00E5189E">
      <w:r>
        <w:t xml:space="preserve">T-account – M-W shows T account (no hyphen) but Investopedia uses hyphen. </w:t>
      </w:r>
      <w:r w:rsidR="001D4087">
        <w:t>U</w:t>
      </w:r>
      <w:r>
        <w:t>se hyphen for clarity</w:t>
      </w:r>
      <w:r w:rsidR="001D4087">
        <w:t>.</w:t>
      </w:r>
    </w:p>
    <w:p w14:paraId="60EBDA4A" w14:textId="2E99031A" w:rsidR="005B6868" w:rsidRDefault="005B6868" w:rsidP="00E5189E">
      <w:r>
        <w:t>T-diagram – likewise</w:t>
      </w:r>
      <w:r w:rsidR="00DB6669">
        <w:t xml:space="preserve"> </w:t>
      </w:r>
      <w:r>
        <w:t>use hyphen</w:t>
      </w:r>
    </w:p>
    <w:p w14:paraId="2F4E21A8" w14:textId="37B53B55" w:rsidR="00E5189E" w:rsidRDefault="00E5189E" w:rsidP="00E5189E">
      <w:r>
        <w:t xml:space="preserve">Business structure – use caps first definition, but not after that </w:t>
      </w:r>
      <w:r w:rsidR="007C4862">
        <w:t>(unless in heading or table or something where cap is appropriate)</w:t>
      </w:r>
    </w:p>
    <w:p w14:paraId="6CB098D1" w14:textId="31C56B91" w:rsidR="00E5189E" w:rsidRDefault="00E5189E" w:rsidP="00E5189E">
      <w:pPr>
        <w:pStyle w:val="ListParagraph"/>
        <w:numPr>
          <w:ilvl w:val="0"/>
          <w:numId w:val="2"/>
        </w:numPr>
      </w:pPr>
      <w:r>
        <w:t>Sole Proprietorship</w:t>
      </w:r>
    </w:p>
    <w:p w14:paraId="7DBC67E6" w14:textId="5C377183" w:rsidR="00E5189E" w:rsidRDefault="00E5189E" w:rsidP="00E5189E">
      <w:pPr>
        <w:pStyle w:val="ListParagraph"/>
        <w:numPr>
          <w:ilvl w:val="0"/>
          <w:numId w:val="2"/>
        </w:numPr>
      </w:pPr>
      <w:r>
        <w:t>Partnership</w:t>
      </w:r>
    </w:p>
    <w:p w14:paraId="560AA8F2" w14:textId="6D41F084" w:rsidR="00E5189E" w:rsidRDefault="00E5189E" w:rsidP="00E5189E">
      <w:pPr>
        <w:pStyle w:val="ListParagraph"/>
        <w:numPr>
          <w:ilvl w:val="0"/>
          <w:numId w:val="2"/>
        </w:numPr>
      </w:pPr>
      <w:r w:rsidRPr="003F3C5A">
        <w:t>Limited Liability Company</w:t>
      </w:r>
      <w:r>
        <w:t xml:space="preserve"> (LLC)</w:t>
      </w:r>
    </w:p>
    <w:p w14:paraId="15B4E247" w14:textId="75C1A7CF" w:rsidR="00E5189E" w:rsidRDefault="00E5189E" w:rsidP="00E5189E">
      <w:pPr>
        <w:pStyle w:val="ListParagraph"/>
        <w:numPr>
          <w:ilvl w:val="0"/>
          <w:numId w:val="2"/>
        </w:numPr>
      </w:pPr>
      <w:r w:rsidRPr="003F3C5A">
        <w:t>Limited Liability Partnership (LLP</w:t>
      </w:r>
      <w:r>
        <w:t>)</w:t>
      </w:r>
    </w:p>
    <w:p w14:paraId="214F98BA" w14:textId="1AA9E4AF" w:rsidR="00E5189E" w:rsidRDefault="00E5189E" w:rsidP="00E5189E">
      <w:pPr>
        <w:pStyle w:val="ListParagraph"/>
        <w:numPr>
          <w:ilvl w:val="0"/>
          <w:numId w:val="2"/>
        </w:numPr>
      </w:pPr>
      <w:r>
        <w:t>Professional Limited Liability Company (PLLC)</w:t>
      </w:r>
    </w:p>
    <w:p w14:paraId="02B6D609" w14:textId="4AB4D0A3" w:rsidR="00A11806" w:rsidRDefault="00A11806" w:rsidP="00E5189E">
      <w:pPr>
        <w:pStyle w:val="ListParagraph"/>
        <w:numPr>
          <w:ilvl w:val="0"/>
          <w:numId w:val="2"/>
        </w:numPr>
      </w:pPr>
      <w:r>
        <w:t>S-Corp</w:t>
      </w:r>
    </w:p>
    <w:p w14:paraId="15B4E644" w14:textId="34F1C7F8" w:rsidR="00A11806" w:rsidRDefault="00A11806" w:rsidP="00E5189E">
      <w:pPr>
        <w:pStyle w:val="ListParagraph"/>
        <w:numPr>
          <w:ilvl w:val="0"/>
          <w:numId w:val="2"/>
        </w:numPr>
      </w:pPr>
      <w:r>
        <w:t>C-Corp</w:t>
      </w:r>
    </w:p>
    <w:p w14:paraId="3FED3258" w14:textId="41C619B2" w:rsidR="00730F64" w:rsidRDefault="00730F64" w:rsidP="00730F64">
      <w:r w:rsidRPr="003F3C5A">
        <w:t>NSF (non-sufficient funds)</w:t>
      </w:r>
      <w:r>
        <w:t xml:space="preserve"> – insufficient would be correct, but this is a banking term – use the hyphen for ease of reading</w:t>
      </w:r>
    </w:p>
    <w:p w14:paraId="20309542" w14:textId="079E8B9B" w:rsidR="00ED5217" w:rsidRDefault="00ED5217" w:rsidP="00ED5217">
      <w:pPr>
        <w:pStyle w:val="Heading1"/>
      </w:pPr>
      <w:r>
        <w:t>Spelling</w:t>
      </w:r>
      <w:r w:rsidR="00D74945">
        <w:t xml:space="preserve"> (M-W unless </w:t>
      </w:r>
      <w:r w:rsidR="001D4087">
        <w:t xml:space="preserve">otherwise </w:t>
      </w:r>
      <w:r w:rsidR="00D74945">
        <w:t>noted)</w:t>
      </w:r>
    </w:p>
    <w:p w14:paraId="6462FC72" w14:textId="2BAEE80B" w:rsidR="00E73CE5" w:rsidRDefault="009018E1" w:rsidP="00E73CE5">
      <w:r>
        <w:t>s</w:t>
      </w:r>
      <w:r w:rsidR="004D2CB6">
        <w:t xml:space="preserve">tart-up </w:t>
      </w:r>
      <w:r w:rsidR="00D5538A">
        <w:t>(</w:t>
      </w:r>
      <w:r w:rsidR="004D2CB6">
        <w:t>adj</w:t>
      </w:r>
      <w:r w:rsidR="00D5538A">
        <w:t>)</w:t>
      </w:r>
      <w:r w:rsidR="004D2CB6">
        <w:t xml:space="preserve"> – use hyphen (variant is startup)</w:t>
      </w:r>
    </w:p>
    <w:p w14:paraId="22192105" w14:textId="1C6E4857" w:rsidR="00540F72" w:rsidRDefault="009018E1" w:rsidP="00E73CE5">
      <w:r>
        <w:t>b</w:t>
      </w:r>
      <w:r w:rsidR="00540F72">
        <w:t xml:space="preserve">ean counter </w:t>
      </w:r>
      <w:r w:rsidR="00D5538A">
        <w:t xml:space="preserve">– </w:t>
      </w:r>
      <w:r w:rsidR="00540F72">
        <w:t xml:space="preserve">noun is two words; </w:t>
      </w:r>
      <w:r w:rsidR="00540F72" w:rsidRPr="003F3C5A">
        <w:t xml:space="preserve">bean-counter </w:t>
      </w:r>
      <w:r w:rsidR="001D791F">
        <w:t>adjective</w:t>
      </w:r>
      <w:r w:rsidR="00540F72">
        <w:t xml:space="preserve"> </w:t>
      </w:r>
      <w:r w:rsidR="00770608">
        <w:t>take</w:t>
      </w:r>
      <w:r w:rsidR="000C0054">
        <w:t xml:space="preserve">s </w:t>
      </w:r>
      <w:r w:rsidR="00540F72">
        <w:t>hyphen</w:t>
      </w:r>
    </w:p>
    <w:p w14:paraId="369F8969" w14:textId="3ADFEC2E" w:rsidR="00070332" w:rsidRDefault="009018E1" w:rsidP="00E73CE5">
      <w:r>
        <w:t>o</w:t>
      </w:r>
      <w:r w:rsidR="00070332">
        <w:t xml:space="preserve">kay – search on it for consistency </w:t>
      </w:r>
    </w:p>
    <w:p w14:paraId="3599DAA6" w14:textId="7D4B77B7" w:rsidR="00070332" w:rsidRDefault="009018E1" w:rsidP="00E73CE5">
      <w:r>
        <w:t>w</w:t>
      </w:r>
      <w:r w:rsidR="00070332">
        <w:t xml:space="preserve">ell-being – use hyphen per </w:t>
      </w:r>
      <w:r w:rsidR="009D53E6">
        <w:t>M-W</w:t>
      </w:r>
    </w:p>
    <w:p w14:paraId="17025CDA" w14:textId="6AF1C6E4" w:rsidR="007832FD" w:rsidRDefault="007832FD" w:rsidP="00E73CE5">
      <w:r>
        <w:t xml:space="preserve">US vs U.S. – </w:t>
      </w:r>
      <w:r w:rsidR="00ED5217">
        <w:t xml:space="preserve">use </w:t>
      </w:r>
      <w:r w:rsidR="00ED5217" w:rsidRPr="00ED5217">
        <w:rPr>
          <w:b/>
          <w:bCs/>
        </w:rPr>
        <w:t>U.S.</w:t>
      </w:r>
      <w:r w:rsidR="00ED5217">
        <w:t xml:space="preserve"> </w:t>
      </w:r>
      <w:r w:rsidR="001D791F">
        <w:t>(even though counter to CMOS)</w:t>
      </w:r>
    </w:p>
    <w:p w14:paraId="3F58A2F1" w14:textId="019A9E55" w:rsidR="00156C57" w:rsidRDefault="009018E1" w:rsidP="00E73CE5">
      <w:r>
        <w:t>t</w:t>
      </w:r>
      <w:r w:rsidR="00156C57">
        <w:t>ear-end – hyphen for both noun and adj</w:t>
      </w:r>
    </w:p>
    <w:p w14:paraId="1737B5F7" w14:textId="04719955" w:rsidR="00052ED4" w:rsidRDefault="009018E1" w:rsidP="00E73CE5">
      <w:r>
        <w:lastRenderedPageBreak/>
        <w:t>w</w:t>
      </w:r>
      <w:r w:rsidR="00052ED4">
        <w:t xml:space="preserve">oo-woo </w:t>
      </w:r>
      <w:r w:rsidR="000C0054">
        <w:t xml:space="preserve">– </w:t>
      </w:r>
      <w:r w:rsidR="00052ED4">
        <w:t>hyphen for both noun and adj</w:t>
      </w:r>
    </w:p>
    <w:p w14:paraId="680119A0" w14:textId="3AC6C52F" w:rsidR="00052ED4" w:rsidRDefault="009018E1" w:rsidP="00E73CE5">
      <w:r>
        <w:t>s</w:t>
      </w:r>
      <w:r w:rsidR="00052ED4">
        <w:t>idenote – one word</w:t>
      </w:r>
      <w:r w:rsidR="00633921">
        <w:t xml:space="preserve"> </w:t>
      </w:r>
    </w:p>
    <w:p w14:paraId="47E9E8B4" w14:textId="533CAB34" w:rsidR="00052ED4" w:rsidRDefault="009018E1" w:rsidP="00E73CE5">
      <w:r>
        <w:t>d</w:t>
      </w:r>
      <w:r w:rsidR="00052ED4">
        <w:t xml:space="preserve">ecision-making </w:t>
      </w:r>
      <w:r w:rsidR="000C0054">
        <w:t xml:space="preserve">– </w:t>
      </w:r>
      <w:r w:rsidR="00052ED4">
        <w:t xml:space="preserve">hyphen per </w:t>
      </w:r>
      <w:r w:rsidR="00BD2D6F">
        <w:t>M-W</w:t>
      </w:r>
    </w:p>
    <w:p w14:paraId="647F5BFA" w14:textId="50D40DBA" w:rsidR="001A3243" w:rsidRDefault="009018E1" w:rsidP="00E73CE5">
      <w:proofErr w:type="gramStart"/>
      <w:r>
        <w:t>t</w:t>
      </w:r>
      <w:r w:rsidR="001A3243">
        <w:t>ime frame</w:t>
      </w:r>
      <w:proofErr w:type="gramEnd"/>
      <w:r w:rsidR="001A3243">
        <w:t xml:space="preserve">, variant timeframe – </w:t>
      </w:r>
      <w:r w:rsidR="001D791F">
        <w:t xml:space="preserve">I </w:t>
      </w:r>
      <w:r w:rsidR="001A3243">
        <w:t>left as two words</w:t>
      </w:r>
    </w:p>
    <w:p w14:paraId="02BAAF4D" w14:textId="5980D051" w:rsidR="000B50F9" w:rsidRDefault="009018E1" w:rsidP="00E73CE5">
      <w:proofErr w:type="spellStart"/>
      <w:r>
        <w:t>u</w:t>
      </w:r>
      <w:r w:rsidR="000B50F9">
        <w:t>nvoided</w:t>
      </w:r>
      <w:proofErr w:type="spellEnd"/>
      <w:r w:rsidR="000B50F9">
        <w:t xml:space="preserve"> – per </w:t>
      </w:r>
      <w:r w:rsidR="008710EA">
        <w:t xml:space="preserve">CMOS </w:t>
      </w:r>
      <w:r w:rsidR="000B50F9">
        <w:t>hyphenation table, no hyphen with un- prefix</w:t>
      </w:r>
    </w:p>
    <w:p w14:paraId="4E9463E7" w14:textId="3DC498E1" w:rsidR="009F4150" w:rsidRDefault="009018E1" w:rsidP="00E73CE5">
      <w:r>
        <w:t>o</w:t>
      </w:r>
      <w:r w:rsidR="009F4150">
        <w:t xml:space="preserve">ffsetting </w:t>
      </w:r>
      <w:r w:rsidR="008710EA">
        <w:t xml:space="preserve">– </w:t>
      </w:r>
      <w:r w:rsidR="009F4150">
        <w:t xml:space="preserve">one word, no hyphen </w:t>
      </w:r>
    </w:p>
    <w:p w14:paraId="51D53CC2" w14:textId="333EFBC7" w:rsidR="0071440D" w:rsidRDefault="009018E1" w:rsidP="00E73CE5">
      <w:r>
        <w:t>s</w:t>
      </w:r>
      <w:r w:rsidR="0071440D">
        <w:t xml:space="preserve">emiannual – no hyphen </w:t>
      </w:r>
    </w:p>
    <w:p w14:paraId="4E35AFC9" w14:textId="50F6435A" w:rsidR="00313000" w:rsidRDefault="001D4087" w:rsidP="00E73CE5">
      <w:r>
        <w:t>“</w:t>
      </w:r>
      <w:proofErr w:type="gramStart"/>
      <w:r w:rsidR="009018E1">
        <w:t>m</w:t>
      </w:r>
      <w:r w:rsidR="00313000">
        <w:t>onth</w:t>
      </w:r>
      <w:proofErr w:type="gramEnd"/>
      <w:r w:rsidR="00313000">
        <w:t>-end checklist</w:t>
      </w:r>
      <w:r w:rsidR="008710EA">
        <w:t>,</w:t>
      </w:r>
      <w:r>
        <w:t>”</w:t>
      </w:r>
      <w:r w:rsidR="00313000">
        <w:t xml:space="preserve"> but </w:t>
      </w:r>
      <w:r w:rsidR="005A2443">
        <w:t>“</w:t>
      </w:r>
      <w:r w:rsidR="00313000">
        <w:t>at month end</w:t>
      </w:r>
      <w:r w:rsidR="005A2443">
        <w:t>”</w:t>
      </w:r>
    </w:p>
    <w:p w14:paraId="5AB93A4C" w14:textId="3A29C755" w:rsidR="003732A5" w:rsidRDefault="009018E1" w:rsidP="00E73CE5">
      <w:r>
        <w:t>“</w:t>
      </w:r>
      <w:proofErr w:type="gramStart"/>
      <w:r>
        <w:t>g</w:t>
      </w:r>
      <w:r w:rsidR="003732A5">
        <w:t>o</w:t>
      </w:r>
      <w:proofErr w:type="gramEnd"/>
      <w:r w:rsidR="003732A5">
        <w:t xml:space="preserve"> all in</w:t>
      </w:r>
      <w:r>
        <w:t>”</w:t>
      </w:r>
      <w:r w:rsidR="003732A5">
        <w:t xml:space="preserve"> – no hyphen per </w:t>
      </w:r>
      <w:r w:rsidR="009D53E6">
        <w:t>M-W</w:t>
      </w:r>
    </w:p>
    <w:p w14:paraId="6C2A87CF" w14:textId="2B30CAA4" w:rsidR="003732A5" w:rsidRDefault="009018E1" w:rsidP="00E73CE5">
      <w:r>
        <w:t>q</w:t>
      </w:r>
      <w:r w:rsidR="00DF79AA">
        <w:t xml:space="preserve">uarter-end and year-end </w:t>
      </w:r>
      <w:proofErr w:type="gramStart"/>
      <w:r w:rsidR="00DF79AA">
        <w:t>are hyphenated</w:t>
      </w:r>
      <w:proofErr w:type="gramEnd"/>
      <w:r w:rsidR="00DF79AA">
        <w:t xml:space="preserve"> as nouns</w:t>
      </w:r>
    </w:p>
    <w:p w14:paraId="7EA8B11D" w14:textId="2577658B" w:rsidR="006B2ADD" w:rsidRDefault="009018E1" w:rsidP="00E73CE5">
      <w:r>
        <w:t>h</w:t>
      </w:r>
      <w:r w:rsidR="006B2ADD">
        <w:t>ouse call – two words</w:t>
      </w:r>
    </w:p>
    <w:p w14:paraId="2A8D6B9B" w14:textId="4855A1A0" w:rsidR="00CD7926" w:rsidRDefault="005A2443" w:rsidP="00E73CE5">
      <w:r w:rsidRPr="009018E1">
        <w:t>C corporation per M-W;</w:t>
      </w:r>
      <w:r w:rsidR="00AC4FD9" w:rsidRPr="009018E1">
        <w:t xml:space="preserve"> abbreviated to</w:t>
      </w:r>
      <w:r w:rsidRPr="009018E1">
        <w:t xml:space="preserve"> </w:t>
      </w:r>
      <w:r w:rsidR="00CD7926" w:rsidRPr="009018E1">
        <w:t>C-</w:t>
      </w:r>
      <w:proofErr w:type="spellStart"/>
      <w:r w:rsidR="00CD7926" w:rsidRPr="009018E1">
        <w:t>corp</w:t>
      </w:r>
      <w:proofErr w:type="spellEnd"/>
      <w:r w:rsidR="00CD7926" w:rsidRPr="009018E1">
        <w:t xml:space="preserve"> </w:t>
      </w:r>
      <w:r w:rsidRPr="009018E1">
        <w:t xml:space="preserve">per </w:t>
      </w:r>
      <w:r w:rsidR="003A30B9" w:rsidRPr="009018E1">
        <w:t>Investopedia</w:t>
      </w:r>
      <w:r w:rsidRPr="009018E1">
        <w:t xml:space="preserve"> (not in M-W) – C </w:t>
      </w:r>
      <w:proofErr w:type="gramStart"/>
      <w:r w:rsidRPr="009018E1">
        <w:t>is capped</w:t>
      </w:r>
      <w:proofErr w:type="gramEnd"/>
      <w:r w:rsidRPr="009018E1">
        <w:t>,</w:t>
      </w:r>
      <w:r>
        <w:t xml:space="preserve"> </w:t>
      </w:r>
      <w:proofErr w:type="spellStart"/>
      <w:r>
        <w:t>corp</w:t>
      </w:r>
      <w:proofErr w:type="spellEnd"/>
      <w:r>
        <w:t xml:space="preserve"> is not</w:t>
      </w:r>
    </w:p>
    <w:p w14:paraId="589F182F" w14:textId="5E9C38E4" w:rsidR="00E5189E" w:rsidRDefault="009018E1" w:rsidP="00E73CE5">
      <w:r>
        <w:t>p</w:t>
      </w:r>
      <w:r w:rsidR="00E5189E">
        <w:t xml:space="preserve">ass-through – both noun and adjective </w:t>
      </w:r>
      <w:proofErr w:type="gramStart"/>
      <w:r w:rsidR="00E5189E">
        <w:t>are hyphenated</w:t>
      </w:r>
      <w:proofErr w:type="gramEnd"/>
    </w:p>
    <w:p w14:paraId="07131757" w14:textId="5E064472" w:rsidR="000D4567" w:rsidRDefault="009018E1" w:rsidP="000D4567">
      <w:r>
        <w:t>s</w:t>
      </w:r>
      <w:r w:rsidR="000D4567">
        <w:t>ubaccount is one word no hyp</w:t>
      </w:r>
      <w:r w:rsidR="00A94355">
        <w:t>h</w:t>
      </w:r>
      <w:r w:rsidR="000D4567">
        <w:t xml:space="preserve">en </w:t>
      </w:r>
    </w:p>
    <w:p w14:paraId="19805310" w14:textId="152E0AAF" w:rsidR="000600F2" w:rsidRDefault="009018E1" w:rsidP="000D4567">
      <w:r>
        <w:t>j</w:t>
      </w:r>
      <w:r w:rsidR="000600F2">
        <w:t>obsite is one word</w:t>
      </w:r>
    </w:p>
    <w:p w14:paraId="1E92F5DF" w14:textId="57978CF9" w:rsidR="00CF26BA" w:rsidRDefault="009018E1" w:rsidP="000D4567">
      <w:r>
        <w:t>o</w:t>
      </w:r>
      <w:r w:rsidR="00CF26BA">
        <w:t>n-screen ok, onscreen variant</w:t>
      </w:r>
    </w:p>
    <w:p w14:paraId="0E3888B8" w14:textId="56E27FE9" w:rsidR="00006933" w:rsidRDefault="00006933" w:rsidP="000D4567">
      <w:r>
        <w:t xml:space="preserve">point-of-sale system is </w:t>
      </w:r>
      <w:proofErr w:type="gramStart"/>
      <w:r>
        <w:t>hyphenated</w:t>
      </w:r>
      <w:r w:rsidR="00916C8A">
        <w:t>;</w:t>
      </w:r>
      <w:proofErr w:type="gramEnd"/>
      <w:r w:rsidR="00916C8A">
        <w:t xml:space="preserve"> or POS system</w:t>
      </w:r>
    </w:p>
    <w:p w14:paraId="0DD581B5" w14:textId="0F3BF15D" w:rsidR="00E40ADC" w:rsidRDefault="009018E1" w:rsidP="000D4567">
      <w:r>
        <w:t>f</w:t>
      </w:r>
      <w:r w:rsidR="00E40ADC">
        <w:t xml:space="preserve">ace-plant </w:t>
      </w:r>
      <w:r w:rsidR="00B8264B">
        <w:t xml:space="preserve">– </w:t>
      </w:r>
      <w:r w:rsidR="00E40ADC">
        <w:t>hyphen</w:t>
      </w:r>
    </w:p>
    <w:p w14:paraId="2C851425" w14:textId="37A1AD5C" w:rsidR="00B728CB" w:rsidRDefault="009018E1" w:rsidP="000D4567">
      <w:r>
        <w:t>u</w:t>
      </w:r>
      <w:r w:rsidR="00B728CB">
        <w:t xml:space="preserve">h-oh </w:t>
      </w:r>
      <w:r w:rsidR="00B8264B">
        <w:t>–</w:t>
      </w:r>
      <w:r w:rsidR="00B728CB">
        <w:t xml:space="preserve"> hyphen</w:t>
      </w:r>
    </w:p>
    <w:p w14:paraId="7D23E039" w14:textId="03427B54" w:rsidR="003B08EF" w:rsidRDefault="009018E1" w:rsidP="000D4567">
      <w:r>
        <w:t>c</w:t>
      </w:r>
      <w:r w:rsidR="003B08EF">
        <w:t>risscross – one wor</w:t>
      </w:r>
      <w:r w:rsidR="00D74945">
        <w:t>d</w:t>
      </w:r>
      <w:r w:rsidR="003B08EF">
        <w:t xml:space="preserve"> no hyphen</w:t>
      </w:r>
    </w:p>
    <w:sectPr w:rsidR="003B0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5F36" w14:textId="77777777" w:rsidR="00B973F2" w:rsidRDefault="00B973F2" w:rsidP="00191487">
      <w:pPr>
        <w:spacing w:after="0" w:line="240" w:lineRule="auto"/>
      </w:pPr>
      <w:r>
        <w:separator/>
      </w:r>
    </w:p>
  </w:endnote>
  <w:endnote w:type="continuationSeparator" w:id="0">
    <w:p w14:paraId="4F290A21" w14:textId="77777777" w:rsidR="00B973F2" w:rsidRDefault="00B973F2" w:rsidP="0019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Cn">
    <w:altName w:val="Calibri"/>
    <w:panose1 w:val="020B0506020202020204"/>
    <w:charset w:val="00"/>
    <w:family w:val="swiss"/>
    <w:notTrueType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766" w14:textId="77777777" w:rsidR="00191487" w:rsidRDefault="00191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C32" w14:textId="4D1440E7" w:rsidR="00191487" w:rsidRDefault="00191487">
    <w:pPr>
      <w:pStyle w:val="Footer"/>
    </w:pPr>
    <w:r>
      <w:t>Know Your Numbers editorial notes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</w:p>
  <w:p w14:paraId="1F905213" w14:textId="77777777" w:rsidR="00191487" w:rsidRDefault="00191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280" w14:textId="77777777" w:rsidR="00191487" w:rsidRDefault="00191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AF1A" w14:textId="77777777" w:rsidR="00B973F2" w:rsidRDefault="00B973F2" w:rsidP="00191487">
      <w:pPr>
        <w:spacing w:after="0" w:line="240" w:lineRule="auto"/>
      </w:pPr>
      <w:r>
        <w:separator/>
      </w:r>
    </w:p>
  </w:footnote>
  <w:footnote w:type="continuationSeparator" w:id="0">
    <w:p w14:paraId="7EDB0EE3" w14:textId="77777777" w:rsidR="00B973F2" w:rsidRDefault="00B973F2" w:rsidP="0019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307C" w14:textId="77777777" w:rsidR="00191487" w:rsidRDefault="00191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E1C2" w14:textId="77777777" w:rsidR="00191487" w:rsidRDefault="00191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4F57" w14:textId="77777777" w:rsidR="00191487" w:rsidRDefault="00191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BA9"/>
    <w:multiLevelType w:val="hybridMultilevel"/>
    <w:tmpl w:val="4FA4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1F67"/>
    <w:multiLevelType w:val="hybridMultilevel"/>
    <w:tmpl w:val="B11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57E58"/>
    <w:multiLevelType w:val="hybridMultilevel"/>
    <w:tmpl w:val="AF9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228D8"/>
    <w:multiLevelType w:val="hybridMultilevel"/>
    <w:tmpl w:val="3A36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731B"/>
    <w:multiLevelType w:val="hybridMultilevel"/>
    <w:tmpl w:val="586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B2F00"/>
    <w:multiLevelType w:val="hybridMultilevel"/>
    <w:tmpl w:val="C276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30904"/>
    <w:multiLevelType w:val="hybridMultilevel"/>
    <w:tmpl w:val="BB1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53D1"/>
    <w:multiLevelType w:val="hybridMultilevel"/>
    <w:tmpl w:val="6E56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0544">
    <w:abstractNumId w:val="4"/>
  </w:num>
  <w:num w:numId="2" w16cid:durableId="26298837">
    <w:abstractNumId w:val="3"/>
  </w:num>
  <w:num w:numId="3" w16cid:durableId="2022588275">
    <w:abstractNumId w:val="2"/>
  </w:num>
  <w:num w:numId="4" w16cid:durableId="332031058">
    <w:abstractNumId w:val="5"/>
  </w:num>
  <w:num w:numId="5" w16cid:durableId="1455446759">
    <w:abstractNumId w:val="0"/>
  </w:num>
  <w:num w:numId="6" w16cid:durableId="1644653799">
    <w:abstractNumId w:val="1"/>
  </w:num>
  <w:num w:numId="7" w16cid:durableId="130295014">
    <w:abstractNumId w:val="6"/>
  </w:num>
  <w:num w:numId="8" w16cid:durableId="333605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5"/>
    <w:rsid w:val="00006933"/>
    <w:rsid w:val="0001357B"/>
    <w:rsid w:val="00013E31"/>
    <w:rsid w:val="00047DE4"/>
    <w:rsid w:val="00052ED4"/>
    <w:rsid w:val="000600F2"/>
    <w:rsid w:val="00070332"/>
    <w:rsid w:val="00097700"/>
    <w:rsid w:val="000B50F9"/>
    <w:rsid w:val="000C0054"/>
    <w:rsid w:val="000D4567"/>
    <w:rsid w:val="0010503C"/>
    <w:rsid w:val="00121CBF"/>
    <w:rsid w:val="00156C57"/>
    <w:rsid w:val="0017377C"/>
    <w:rsid w:val="00180AAE"/>
    <w:rsid w:val="00184861"/>
    <w:rsid w:val="00191487"/>
    <w:rsid w:val="001A3243"/>
    <w:rsid w:val="001D4087"/>
    <w:rsid w:val="001D791F"/>
    <w:rsid w:val="001E2A6B"/>
    <w:rsid w:val="002076BB"/>
    <w:rsid w:val="00221774"/>
    <w:rsid w:val="00261666"/>
    <w:rsid w:val="00263F2B"/>
    <w:rsid w:val="002A7299"/>
    <w:rsid w:val="002E2D20"/>
    <w:rsid w:val="00313000"/>
    <w:rsid w:val="00360DFE"/>
    <w:rsid w:val="0037274B"/>
    <w:rsid w:val="003732A5"/>
    <w:rsid w:val="00380714"/>
    <w:rsid w:val="003A30B9"/>
    <w:rsid w:val="003B08EF"/>
    <w:rsid w:val="003F27C9"/>
    <w:rsid w:val="00491914"/>
    <w:rsid w:val="004A702C"/>
    <w:rsid w:val="004D2CB6"/>
    <w:rsid w:val="0050791F"/>
    <w:rsid w:val="005214A5"/>
    <w:rsid w:val="00540F72"/>
    <w:rsid w:val="00571F93"/>
    <w:rsid w:val="005A2443"/>
    <w:rsid w:val="005B6868"/>
    <w:rsid w:val="005C5217"/>
    <w:rsid w:val="005C7A9C"/>
    <w:rsid w:val="005D265B"/>
    <w:rsid w:val="00630ACE"/>
    <w:rsid w:val="00633921"/>
    <w:rsid w:val="006B2ADD"/>
    <w:rsid w:val="006D2384"/>
    <w:rsid w:val="0071440D"/>
    <w:rsid w:val="00730F64"/>
    <w:rsid w:val="00732AD1"/>
    <w:rsid w:val="0074141E"/>
    <w:rsid w:val="00770608"/>
    <w:rsid w:val="007832FD"/>
    <w:rsid w:val="007927F8"/>
    <w:rsid w:val="007C4862"/>
    <w:rsid w:val="00817819"/>
    <w:rsid w:val="00865742"/>
    <w:rsid w:val="008710EA"/>
    <w:rsid w:val="0088243F"/>
    <w:rsid w:val="008D0C07"/>
    <w:rsid w:val="009018E1"/>
    <w:rsid w:val="009058D2"/>
    <w:rsid w:val="00916C8A"/>
    <w:rsid w:val="00950244"/>
    <w:rsid w:val="009B048E"/>
    <w:rsid w:val="009D15D9"/>
    <w:rsid w:val="009D53E6"/>
    <w:rsid w:val="009F25BF"/>
    <w:rsid w:val="009F4150"/>
    <w:rsid w:val="00A0547A"/>
    <w:rsid w:val="00A11806"/>
    <w:rsid w:val="00A94355"/>
    <w:rsid w:val="00AC4FD9"/>
    <w:rsid w:val="00B07AE8"/>
    <w:rsid w:val="00B728CB"/>
    <w:rsid w:val="00B73869"/>
    <w:rsid w:val="00B8264B"/>
    <w:rsid w:val="00B973F2"/>
    <w:rsid w:val="00BD2D6F"/>
    <w:rsid w:val="00C273E9"/>
    <w:rsid w:val="00C90D90"/>
    <w:rsid w:val="00CA14D0"/>
    <w:rsid w:val="00CD7926"/>
    <w:rsid w:val="00CF26BA"/>
    <w:rsid w:val="00CF4D75"/>
    <w:rsid w:val="00D311DE"/>
    <w:rsid w:val="00D5538A"/>
    <w:rsid w:val="00D74945"/>
    <w:rsid w:val="00D82B4C"/>
    <w:rsid w:val="00D87E06"/>
    <w:rsid w:val="00DA1871"/>
    <w:rsid w:val="00DB6669"/>
    <w:rsid w:val="00DD1698"/>
    <w:rsid w:val="00DF79AA"/>
    <w:rsid w:val="00E40ADC"/>
    <w:rsid w:val="00E5189E"/>
    <w:rsid w:val="00E73CE5"/>
    <w:rsid w:val="00EB5EC4"/>
    <w:rsid w:val="00ED4477"/>
    <w:rsid w:val="00ED5217"/>
    <w:rsid w:val="00F0407C"/>
    <w:rsid w:val="00F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BE8A"/>
  <w15:chartTrackingRefBased/>
  <w15:docId w15:val="{31992A10-3E22-4FF9-8E01-DF282F0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17"/>
    <w:rPr>
      <w:rFonts w:ascii="Palatino Linotype" w:hAnsi="Palatino Linotype"/>
    </w:rPr>
  </w:style>
  <w:style w:type="paragraph" w:styleId="Heading1">
    <w:name w:val="heading 1"/>
    <w:next w:val="Normal"/>
    <w:link w:val="Heading1Char"/>
    <w:uiPriority w:val="9"/>
    <w:qFormat/>
    <w:rsid w:val="00ED5217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Cs/>
      <w:color w:val="000000" w:themeColor="text1"/>
      <w:sz w:val="36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ED5217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ED5217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217"/>
    <w:pPr>
      <w:keepNext/>
      <w:keepLines/>
      <w:spacing w:before="200" w:after="0"/>
      <w:outlineLvl w:val="3"/>
    </w:pPr>
    <w:rPr>
      <w:rFonts w:ascii="Century Gothic" w:eastAsiaTheme="majorEastAsia" w:hAnsi="Century Gothic" w:cstheme="majorBidi"/>
      <w:bCs/>
      <w:iCs/>
      <w:color w:val="000000" w:themeColor="text1"/>
      <w:sz w:val="20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ED5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2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2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2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2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E5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ED5217"/>
    <w:pPr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TabletextChar">
    <w:name w:val="Table text Char"/>
    <w:basedOn w:val="NoSpacingChar"/>
    <w:link w:val="Tabletext"/>
    <w:rsid w:val="00ED5217"/>
    <w:rPr>
      <w:rFonts w:ascii="Palatino Linotype" w:eastAsia="Calibri" w:hAnsi="Palatino Linotype" w:cs="Calibri"/>
      <w:sz w:val="20"/>
      <w:szCs w:val="20"/>
    </w:rPr>
  </w:style>
  <w:style w:type="paragraph" w:customStyle="1" w:styleId="Tableheading">
    <w:name w:val="Table heading"/>
    <w:basedOn w:val="Tabletext"/>
    <w:link w:val="TableheadingChar"/>
    <w:qFormat/>
    <w:rsid w:val="00ED5217"/>
    <w:pPr>
      <w:jc w:val="center"/>
    </w:pPr>
    <w:rPr>
      <w:rFonts w:ascii="AvenirNext LT Pro Cn" w:hAnsi="AvenirNext LT Pro Cn"/>
      <w:b/>
    </w:rPr>
  </w:style>
  <w:style w:type="character" w:customStyle="1" w:styleId="TableheadingChar">
    <w:name w:val="Table heading Char"/>
    <w:basedOn w:val="TabletextChar"/>
    <w:link w:val="Tableheading"/>
    <w:rsid w:val="00ED5217"/>
    <w:rPr>
      <w:rFonts w:ascii="AvenirNext LT Pro Cn" w:eastAsia="Calibri" w:hAnsi="AvenirNext LT Pro Cn" w:cs="Calibri"/>
      <w:b/>
      <w:sz w:val="20"/>
      <w:szCs w:val="20"/>
    </w:rPr>
  </w:style>
  <w:style w:type="paragraph" w:customStyle="1" w:styleId="Tablesubheading">
    <w:name w:val="Table subheading"/>
    <w:basedOn w:val="Tableheading"/>
    <w:link w:val="TablesubheadingChar"/>
    <w:qFormat/>
    <w:rsid w:val="00ED5217"/>
    <w:pPr>
      <w:jc w:val="left"/>
    </w:pPr>
    <w:rPr>
      <w:color w:val="FFFFFF" w:themeColor="background1"/>
    </w:rPr>
  </w:style>
  <w:style w:type="character" w:customStyle="1" w:styleId="TablesubheadingChar">
    <w:name w:val="Table subheading Char"/>
    <w:basedOn w:val="TableheadingChar"/>
    <w:link w:val="Tablesubheading"/>
    <w:rsid w:val="00ED5217"/>
    <w:rPr>
      <w:rFonts w:ascii="AvenirNext LT Pro Cn" w:eastAsia="Calibri" w:hAnsi="AvenirNext LT Pro Cn" w:cs="Calibri"/>
      <w:b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217"/>
    <w:rPr>
      <w:rFonts w:ascii="Century Gothic" w:eastAsiaTheme="majorEastAsia" w:hAnsi="Century Gothic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217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217"/>
    <w:rPr>
      <w:rFonts w:ascii="Century Gothic" w:eastAsiaTheme="majorEastAsia" w:hAnsi="Century Gothic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217"/>
    <w:rPr>
      <w:rFonts w:ascii="Century Gothic" w:eastAsiaTheme="majorEastAsia" w:hAnsi="Century Gothic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2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2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2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21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2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21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D5217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217"/>
    <w:rPr>
      <w:rFonts w:ascii="Century Gothic" w:eastAsiaTheme="majorEastAsia" w:hAnsi="Century Gothic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21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21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D5217"/>
    <w:rPr>
      <w:b/>
      <w:bCs/>
    </w:rPr>
  </w:style>
  <w:style w:type="character" w:styleId="Emphasis">
    <w:name w:val="Emphasis"/>
    <w:basedOn w:val="DefaultParagraphFont"/>
    <w:uiPriority w:val="20"/>
    <w:qFormat/>
    <w:rsid w:val="00ED5217"/>
    <w:rPr>
      <w:i/>
      <w:iCs/>
    </w:rPr>
  </w:style>
  <w:style w:type="paragraph" w:styleId="NoSpacing">
    <w:name w:val="No Spacing"/>
    <w:link w:val="NoSpacingChar"/>
    <w:uiPriority w:val="1"/>
    <w:qFormat/>
    <w:rsid w:val="00ED5217"/>
    <w:pPr>
      <w:spacing w:after="0" w:line="240" w:lineRule="auto"/>
    </w:pPr>
    <w:rPr>
      <w:rFonts w:ascii="Palatino Linotype" w:hAnsi="Palatino Linotype"/>
    </w:rPr>
  </w:style>
  <w:style w:type="character" w:customStyle="1" w:styleId="NoSpacingChar">
    <w:name w:val="No Spacing Char"/>
    <w:basedOn w:val="DefaultParagraphFont"/>
    <w:link w:val="NoSpacing"/>
    <w:uiPriority w:val="1"/>
    <w:rsid w:val="00ED5217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ED5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217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52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217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21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D52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D521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D521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D521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D52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21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5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57"/>
    <w:pPr>
      <w:spacing w:after="0" w:line="240" w:lineRule="auto"/>
      <w:ind w:firstLine="720"/>
    </w:pPr>
    <w:rPr>
      <w:rFonts w:ascii="Georgia" w:eastAsia="Times New Roman" w:hAnsi="Georg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57"/>
    <w:rPr>
      <w:rFonts w:ascii="Georgia" w:eastAsia="Times New Roman" w:hAnsi="Georg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8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19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7"/>
    <w:rPr>
      <w:rFonts w:ascii="Palatino Linotype" w:hAnsi="Palatino Linotype"/>
    </w:rPr>
  </w:style>
  <w:style w:type="paragraph" w:styleId="Revision">
    <w:name w:val="Revision"/>
    <w:hidden/>
    <w:uiPriority w:val="99"/>
    <w:semiHidden/>
    <w:rsid w:val="00491914"/>
    <w:pPr>
      <w:spacing w:after="0" w:line="240" w:lineRule="auto"/>
    </w:pPr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54"/>
    <w:pPr>
      <w:spacing w:after="200"/>
      <w:ind w:firstLine="0"/>
    </w:pPr>
    <w:rPr>
      <w:rFonts w:ascii="Palatino Linotype" w:eastAsiaTheme="minorEastAsia" w:hAnsi="Palatino Linotype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54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 Wiberg</dc:creator>
  <cp:keywords/>
  <dc:description/>
  <cp:lastModifiedBy>Karin S Wiberg</cp:lastModifiedBy>
  <cp:revision>3</cp:revision>
  <dcterms:created xsi:type="dcterms:W3CDTF">2023-10-26T12:08:00Z</dcterms:created>
  <dcterms:modified xsi:type="dcterms:W3CDTF">2023-10-26T12:10:00Z</dcterms:modified>
</cp:coreProperties>
</file>